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5E8437">
      <w:pPr>
        <w:pStyle w:val="2"/>
        <w:shd w:val="clear" w:color="auto" w:fill="FFFFFF"/>
        <w:snapToGrid w:val="0"/>
        <w:spacing w:before="0" w:after="0" w:line="240" w:lineRule="auto"/>
        <w:jc w:val="center"/>
        <w:rPr>
          <w:rFonts w:ascii="微软雅黑" w:hAnsi="微软雅黑" w:eastAsia="微软雅黑"/>
          <w:b w:val="0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b w:val="0"/>
          <w:bCs/>
          <w:color w:val="333333"/>
          <w:sz w:val="28"/>
          <w:szCs w:val="28"/>
        </w:rPr>
        <w:t>HDBaseT安装工程师的十大布线戒律</w:t>
      </w:r>
    </w:p>
    <w:p w14:paraId="32980837">
      <w:pPr>
        <w:snapToGrid w:val="0"/>
        <w:rPr>
          <w:rFonts w:ascii="微软雅黑" w:hAnsi="微软雅黑" w:eastAsia="微软雅黑" w:cs="微软雅黑"/>
          <w:color w:val="01253E"/>
          <w:sz w:val="18"/>
          <w:szCs w:val="18"/>
        </w:rPr>
      </w:pPr>
    </w:p>
    <w:p w14:paraId="41D474BC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使用网线</w:t>
      </w:r>
    </w:p>
    <w:p w14:paraId="3B11580F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  HDBaseT基于普通网线（Cat5E或以上）运行，因此关于以太网的任何最佳实践方法同样适用于此。网线性能取决于网线质量、连接距离、网线处理方式和预期视频分辨率。经验法则是分辨率越高，越要选择好的网线。距离亦是如此。</w:t>
      </w:r>
    </w:p>
    <w:p w14:paraId="461FB64F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在任何项目中，布线基础设施很可能要长久使用下去。因此，其持续时间常与网络中的任何其他组件，选择网线时应考虑新的应用、新增的用户和整个系统的扩容可能性。</w:t>
      </w:r>
    </w:p>
    <w:p w14:paraId="0C0FA234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不得无故拆开线股</w:t>
      </w:r>
    </w:p>
    <w:p w14:paraId="2A8A28F6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线股扭在一起是有原因的：</w:t>
      </w:r>
      <w:bookmarkStart w:id="0" w:name="_GoBack"/>
      <w:bookmarkEnd w:id="0"/>
      <w:r>
        <w:rPr>
          <w:rFonts w:hint="eastAsia" w:ascii="微软雅黑" w:hAnsi="微软雅黑" w:eastAsia="微软雅黑"/>
          <w:color w:val="666666"/>
          <w:sz w:val="18"/>
          <w:szCs w:val="18"/>
        </w:rPr>
        <w:t>能抵消来自外部的电子干扰和来自邻近道题的串扰。端接网线时，从端点起，拆开的线股长度不得超过半英寸（最好为四分之一英寸），尽量保留线股护套。</w:t>
      </w:r>
    </w:p>
    <w:p w14:paraId="525322D1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务必小心操作网线</w:t>
      </w:r>
    </w:p>
    <w:p w14:paraId="1A385033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网线弹性良好，但如果操作粗暴，比如：捆扎、夹持或固定时过紧，就可能损坏网线，导致性能下降，甚至障碍信号传输。使用合适的扎线带把网线宽松地扎起来，如果设计到的网线比较多，一定要使用合适的线缆支撑系统，比如：电缆盘、夹具货J型钩。如果一定要拉线，不得太用力，因为太用力也可能导致双绞线松脱，从而使性能下降。网线的物理保护层可以保证数据传输的完整性。</w:t>
      </w:r>
    </w:p>
    <w:p w14:paraId="54B520D3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不得过度弯曲网线</w:t>
      </w:r>
    </w:p>
    <w:p w14:paraId="70AD6095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对网线完整性至关重要的另一个因素是弯曲半径。弯曲半径是网线在安装中和哦安装后的内曲线。最好使最小弯曲半径少等于网线直径的四倍---这意味着，网线的弯曲度不得低于该半径，以防损坏网线和破坏信号传输的完整性。过度弯曲可能导致双绞线松开，或者改变绞合状态，可能增加网线受外部噪声和网线内部近末端串扰影响的可能性。</w:t>
      </w:r>
    </w:p>
    <w:p w14:paraId="72549BB4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务必使用网线远离电源</w:t>
      </w:r>
    </w:p>
    <w:p w14:paraId="31D3B945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网线应距离电源线至少12英寸。在易受高电磁干扰影响的环境中，最好使用屏蔽网线。多数Cat5e网线都采用非屏蔽设计，这样可以提高弹性、耐用性，还能降低成本。但是他们也更容易收到电磁干扰的影响。</w:t>
      </w:r>
    </w:p>
    <w:p w14:paraId="55240B36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如果要使用非屏蔽网线，一定要使其远离任何电子干扰源，比如其他线缆、变压器和灯具等。在高射频环境中，最好使用屏蔽线。</w:t>
      </w:r>
    </w:p>
    <w:p w14:paraId="06246D4F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这对屏蔽连接器同样适用。在屏蔽连接器中，信号引脚周围是金属屏蔽层，可以进一步降低电磁干扰。屏蔽连接器具有更高的适合性，因而性能更优。</w:t>
      </w:r>
    </w:p>
    <w:p w14:paraId="53D2837B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务必充分考虑距离问题</w:t>
      </w:r>
    </w:p>
    <w:p w14:paraId="568014B6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 HDBaseT的5Play特性支持100米/328英尺的距离。影响距离的因素之一是所用网线的质量、工作环境和预期视频分辨率。距离相同时，相对低质量网线、高质量网线能更好地维持信号的完整性。距离相同时，相比噪声环境或易发生电磁干扰的环境，无噪声环境能带来更好的性能。在较低的720p分辨率下，有些HDBaseT设备可支持长距离连接----150米/492英尺。</w:t>
      </w:r>
    </w:p>
    <w:p w14:paraId="5246863F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不得无故使用跳线</w:t>
      </w:r>
    </w:p>
    <w:p w14:paraId="06095D4B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如有可能应完全避免使用跳线，因为每个接头都会导致传输信号损失。如果确有需要，每条线路所用跳线必须少于两条，并且每条跳线距离线路末端必须小于5米。</w:t>
      </w:r>
    </w:p>
    <w:p w14:paraId="3DAC92E7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务必小心端接</w:t>
      </w:r>
    </w:p>
    <w:p w14:paraId="611886EB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  HDBaseT采用网线的一个优势在于网线可在现场轻松端接。这意味着，无需预先丈量网线，无需提前备好装备，既节约了时间，又节省了开支。端接时务必使用正确的工具，比如剥线器、电工剪、压线钳等。同时确保网线两端采用相同的接线方案，T568A或T568B。不得在同一安装工程中同时彩通两个方案。另外建议，向HDBaseT制造商确认其产品优化和校正时所采用的方案，以充分发挥预期性能。</w:t>
      </w:r>
    </w:p>
    <w:p w14:paraId="5E624F05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务必做到一丝不苟，测试、测试、在测试。</w:t>
      </w:r>
    </w:p>
    <w:p w14:paraId="0F1551AC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测试对保证网线质量和信号完整性至关重要。预先测试可以节省大量的故障排查时间和资源。安装过程中和完成后，应通过专业测设设备检测已装基础设施的接头和传输性能、除了断线、电线不匹配等问题外。还要检测可能导致干扰或信号丢失的任何隐性问题。在安装和端接时要测试每条网线，以便在安装过程中及时发现个别问题。</w:t>
      </w:r>
    </w:p>
    <w:p w14:paraId="08F58AD1">
      <w:pPr>
        <w:pStyle w:val="7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/>
        <w:rPr>
          <w:rFonts w:hint="eastAsia" w:ascii="微软雅黑" w:hAnsi="微软雅黑" w:eastAsia="微软雅黑"/>
          <w:color w:val="666666"/>
          <w:sz w:val="18"/>
          <w:szCs w:val="18"/>
        </w:rPr>
      </w:pPr>
      <w:r>
        <w:rPr>
          <w:rFonts w:hint="eastAsia" w:ascii="微软雅黑" w:hAnsi="微软雅黑" w:eastAsia="微软雅黑"/>
          <w:b/>
          <w:bCs/>
          <w:color w:val="666666"/>
          <w:sz w:val="18"/>
          <w:szCs w:val="18"/>
        </w:rPr>
        <w:t>务必组织有序</w:t>
      </w:r>
    </w:p>
    <w:p w14:paraId="40D9ABEF">
      <w:pPr>
        <w:pStyle w:val="7"/>
        <w:shd w:val="clear" w:color="auto" w:fill="FFFFFF"/>
        <w:snapToGrid w:val="0"/>
        <w:spacing w:before="0" w:beforeAutospacing="0" w:after="0" w:afterAutospacing="0"/>
        <w:ind w:left="720"/>
        <w:rPr>
          <w:rFonts w:hint="eastAsia" w:ascii="微软雅黑" w:hAnsi="微软雅黑" w:eastAsia="宋体" w:cs="微软雅黑"/>
          <w:color w:val="01253E"/>
          <w:sz w:val="16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666666"/>
          <w:sz w:val="18"/>
          <w:szCs w:val="18"/>
        </w:rPr>
        <w:t>　　记录和标记所有布线组件，便于以后升级或扩容，包括示意图。移除任何报废网线，预期事故或火灾。避免通过管道或孔洞布线，因为这样可能会限制将来增加布线。</w:t>
      </w:r>
    </w:p>
    <w:sectPr>
      <w:headerReference r:id="rId3" w:type="default"/>
      <w:footerReference r:id="rId4" w:type="even"/>
      <w:endnotePr>
        <w:numFmt w:val="decimal"/>
      </w:endnotePr>
      <w:pgSz w:w="11906" w:h="16838"/>
      <w:pgMar w:top="567" w:right="567" w:bottom="567" w:left="56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71CD2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7C97728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AE074">
    <w:pPr>
      <w:pStyle w:val="5"/>
      <w:tabs>
        <w:tab w:val="right" w:pos="10080"/>
        <w:tab w:val="clear" w:pos="8306"/>
      </w:tabs>
      <w:ind w:right="-11"/>
      <w:jc w:val="both"/>
      <w:rPr>
        <w:rFonts w:ascii="微软雅黑" w:hAnsi="微软雅黑" w:eastAsia="微软雅黑" w:cs="微软雅黑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84595"/>
    <w:multiLevelType w:val="multilevel"/>
    <w:tmpl w:val="4C8845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172A27"/>
    <w:rsid w:val="00001038"/>
    <w:rsid w:val="0000674C"/>
    <w:rsid w:val="0001314B"/>
    <w:rsid w:val="00017B48"/>
    <w:rsid w:val="00026D73"/>
    <w:rsid w:val="00027651"/>
    <w:rsid w:val="00032048"/>
    <w:rsid w:val="000408C1"/>
    <w:rsid w:val="00057717"/>
    <w:rsid w:val="00061DC0"/>
    <w:rsid w:val="000659F4"/>
    <w:rsid w:val="00065A43"/>
    <w:rsid w:val="000718A4"/>
    <w:rsid w:val="000822A4"/>
    <w:rsid w:val="00083C8D"/>
    <w:rsid w:val="0009693F"/>
    <w:rsid w:val="000A5BB9"/>
    <w:rsid w:val="000A7B7B"/>
    <w:rsid w:val="000B52D1"/>
    <w:rsid w:val="000C25C7"/>
    <w:rsid w:val="000C3B46"/>
    <w:rsid w:val="000C4A44"/>
    <w:rsid w:val="000D202C"/>
    <w:rsid w:val="000E23DD"/>
    <w:rsid w:val="000F1D6C"/>
    <w:rsid w:val="000F2DA5"/>
    <w:rsid w:val="000F5D67"/>
    <w:rsid w:val="00111019"/>
    <w:rsid w:val="00112EAD"/>
    <w:rsid w:val="001215FB"/>
    <w:rsid w:val="00125296"/>
    <w:rsid w:val="001263AF"/>
    <w:rsid w:val="00132372"/>
    <w:rsid w:val="001366CF"/>
    <w:rsid w:val="0014174F"/>
    <w:rsid w:val="001422AF"/>
    <w:rsid w:val="001470D0"/>
    <w:rsid w:val="00154E91"/>
    <w:rsid w:val="001637EF"/>
    <w:rsid w:val="00163FA2"/>
    <w:rsid w:val="00170321"/>
    <w:rsid w:val="00172A27"/>
    <w:rsid w:val="00175164"/>
    <w:rsid w:val="00176B6B"/>
    <w:rsid w:val="00181FAD"/>
    <w:rsid w:val="001822E1"/>
    <w:rsid w:val="00186891"/>
    <w:rsid w:val="00191AAD"/>
    <w:rsid w:val="001A2E55"/>
    <w:rsid w:val="001B367A"/>
    <w:rsid w:val="001B48F0"/>
    <w:rsid w:val="001B5838"/>
    <w:rsid w:val="001C2BF7"/>
    <w:rsid w:val="001C4465"/>
    <w:rsid w:val="001D6E59"/>
    <w:rsid w:val="00204487"/>
    <w:rsid w:val="002134E5"/>
    <w:rsid w:val="00215760"/>
    <w:rsid w:val="00215B58"/>
    <w:rsid w:val="0021649A"/>
    <w:rsid w:val="00220898"/>
    <w:rsid w:val="0022412D"/>
    <w:rsid w:val="00225725"/>
    <w:rsid w:val="002344D4"/>
    <w:rsid w:val="00245B20"/>
    <w:rsid w:val="00251C96"/>
    <w:rsid w:val="00254653"/>
    <w:rsid w:val="00257D5E"/>
    <w:rsid w:val="002600AD"/>
    <w:rsid w:val="00260407"/>
    <w:rsid w:val="00264D42"/>
    <w:rsid w:val="00264E57"/>
    <w:rsid w:val="002709DE"/>
    <w:rsid w:val="002952A7"/>
    <w:rsid w:val="002A1DB4"/>
    <w:rsid w:val="002A4B7C"/>
    <w:rsid w:val="002B60FB"/>
    <w:rsid w:val="002B6BB2"/>
    <w:rsid w:val="002C04A1"/>
    <w:rsid w:val="002C1016"/>
    <w:rsid w:val="002C1985"/>
    <w:rsid w:val="002C2D81"/>
    <w:rsid w:val="002C4760"/>
    <w:rsid w:val="002E39C0"/>
    <w:rsid w:val="002E66F6"/>
    <w:rsid w:val="003060D4"/>
    <w:rsid w:val="003100EA"/>
    <w:rsid w:val="0031043F"/>
    <w:rsid w:val="003114C5"/>
    <w:rsid w:val="00313F0B"/>
    <w:rsid w:val="00316A81"/>
    <w:rsid w:val="00316D92"/>
    <w:rsid w:val="00317991"/>
    <w:rsid w:val="0032192D"/>
    <w:rsid w:val="0032273A"/>
    <w:rsid w:val="00324ED1"/>
    <w:rsid w:val="003342F9"/>
    <w:rsid w:val="00342C3B"/>
    <w:rsid w:val="00347264"/>
    <w:rsid w:val="003552F6"/>
    <w:rsid w:val="0036102D"/>
    <w:rsid w:val="00372320"/>
    <w:rsid w:val="003766D2"/>
    <w:rsid w:val="003816F7"/>
    <w:rsid w:val="00382BA4"/>
    <w:rsid w:val="00390060"/>
    <w:rsid w:val="00392128"/>
    <w:rsid w:val="003951FD"/>
    <w:rsid w:val="003A3383"/>
    <w:rsid w:val="003A6007"/>
    <w:rsid w:val="003B04D7"/>
    <w:rsid w:val="003C24E5"/>
    <w:rsid w:val="003D10A5"/>
    <w:rsid w:val="003D2C95"/>
    <w:rsid w:val="003D4B1B"/>
    <w:rsid w:val="003E0BE3"/>
    <w:rsid w:val="003F2D5E"/>
    <w:rsid w:val="003F4EE1"/>
    <w:rsid w:val="00402231"/>
    <w:rsid w:val="0041211B"/>
    <w:rsid w:val="00415273"/>
    <w:rsid w:val="004259A3"/>
    <w:rsid w:val="004259B7"/>
    <w:rsid w:val="004274C0"/>
    <w:rsid w:val="004350F9"/>
    <w:rsid w:val="00436DF7"/>
    <w:rsid w:val="00440465"/>
    <w:rsid w:val="00457DF6"/>
    <w:rsid w:val="00461AA0"/>
    <w:rsid w:val="004655FB"/>
    <w:rsid w:val="00472299"/>
    <w:rsid w:val="0048059A"/>
    <w:rsid w:val="00490752"/>
    <w:rsid w:val="00497D11"/>
    <w:rsid w:val="004A3522"/>
    <w:rsid w:val="004A6E48"/>
    <w:rsid w:val="004B1AB2"/>
    <w:rsid w:val="004B2007"/>
    <w:rsid w:val="004C0F5A"/>
    <w:rsid w:val="004D1564"/>
    <w:rsid w:val="004D52C8"/>
    <w:rsid w:val="004E0028"/>
    <w:rsid w:val="004E0360"/>
    <w:rsid w:val="004E6949"/>
    <w:rsid w:val="0050770E"/>
    <w:rsid w:val="005206F1"/>
    <w:rsid w:val="00521DD3"/>
    <w:rsid w:val="00522AE2"/>
    <w:rsid w:val="00527522"/>
    <w:rsid w:val="00535F81"/>
    <w:rsid w:val="00543233"/>
    <w:rsid w:val="00545B9B"/>
    <w:rsid w:val="0055033B"/>
    <w:rsid w:val="00554C5E"/>
    <w:rsid w:val="00575165"/>
    <w:rsid w:val="0057536C"/>
    <w:rsid w:val="0057579B"/>
    <w:rsid w:val="00581191"/>
    <w:rsid w:val="005905A6"/>
    <w:rsid w:val="00595682"/>
    <w:rsid w:val="00596A92"/>
    <w:rsid w:val="005C0FC6"/>
    <w:rsid w:val="005C28D1"/>
    <w:rsid w:val="005D44CC"/>
    <w:rsid w:val="005E2D6D"/>
    <w:rsid w:val="005E4007"/>
    <w:rsid w:val="005E7170"/>
    <w:rsid w:val="005F4CE4"/>
    <w:rsid w:val="005F50FB"/>
    <w:rsid w:val="0060453E"/>
    <w:rsid w:val="00612363"/>
    <w:rsid w:val="00627F62"/>
    <w:rsid w:val="00630AC0"/>
    <w:rsid w:val="00631BED"/>
    <w:rsid w:val="00635121"/>
    <w:rsid w:val="00635BE7"/>
    <w:rsid w:val="0063632B"/>
    <w:rsid w:val="00642BD5"/>
    <w:rsid w:val="0065317A"/>
    <w:rsid w:val="00654944"/>
    <w:rsid w:val="006558AA"/>
    <w:rsid w:val="00661420"/>
    <w:rsid w:val="006709B8"/>
    <w:rsid w:val="00670F5D"/>
    <w:rsid w:val="00673E57"/>
    <w:rsid w:val="00683D7E"/>
    <w:rsid w:val="006961F4"/>
    <w:rsid w:val="006A7600"/>
    <w:rsid w:val="006C4740"/>
    <w:rsid w:val="006C487E"/>
    <w:rsid w:val="006C7047"/>
    <w:rsid w:val="006D008E"/>
    <w:rsid w:val="006D0745"/>
    <w:rsid w:val="006D12FA"/>
    <w:rsid w:val="006D2E98"/>
    <w:rsid w:val="006E6FE2"/>
    <w:rsid w:val="0070035F"/>
    <w:rsid w:val="00701C0D"/>
    <w:rsid w:val="00705BFB"/>
    <w:rsid w:val="0073228E"/>
    <w:rsid w:val="00733FB8"/>
    <w:rsid w:val="007348DD"/>
    <w:rsid w:val="00736BD0"/>
    <w:rsid w:val="00755308"/>
    <w:rsid w:val="00756DFF"/>
    <w:rsid w:val="007577FE"/>
    <w:rsid w:val="00761E40"/>
    <w:rsid w:val="007638FD"/>
    <w:rsid w:val="007649BE"/>
    <w:rsid w:val="00766A74"/>
    <w:rsid w:val="00767A29"/>
    <w:rsid w:val="00767B06"/>
    <w:rsid w:val="00774819"/>
    <w:rsid w:val="007852A0"/>
    <w:rsid w:val="00787629"/>
    <w:rsid w:val="007A6831"/>
    <w:rsid w:val="007C0D53"/>
    <w:rsid w:val="007C18CF"/>
    <w:rsid w:val="007C5C76"/>
    <w:rsid w:val="007D073C"/>
    <w:rsid w:val="007D6031"/>
    <w:rsid w:val="007F128D"/>
    <w:rsid w:val="007F3AE5"/>
    <w:rsid w:val="007F7000"/>
    <w:rsid w:val="00807747"/>
    <w:rsid w:val="008118E0"/>
    <w:rsid w:val="00812A79"/>
    <w:rsid w:val="00816415"/>
    <w:rsid w:val="008167FA"/>
    <w:rsid w:val="00817593"/>
    <w:rsid w:val="00830A6E"/>
    <w:rsid w:val="00831BB3"/>
    <w:rsid w:val="0083412C"/>
    <w:rsid w:val="00836B07"/>
    <w:rsid w:val="00843DE0"/>
    <w:rsid w:val="00845E50"/>
    <w:rsid w:val="00863836"/>
    <w:rsid w:val="00866686"/>
    <w:rsid w:val="0088693C"/>
    <w:rsid w:val="00893E9A"/>
    <w:rsid w:val="008B001D"/>
    <w:rsid w:val="008B3F5F"/>
    <w:rsid w:val="008B49B5"/>
    <w:rsid w:val="008C1711"/>
    <w:rsid w:val="008C1849"/>
    <w:rsid w:val="008C1C75"/>
    <w:rsid w:val="008C7ADA"/>
    <w:rsid w:val="008D23C9"/>
    <w:rsid w:val="00902F61"/>
    <w:rsid w:val="00905AF2"/>
    <w:rsid w:val="00911CD6"/>
    <w:rsid w:val="00914F42"/>
    <w:rsid w:val="00921DBD"/>
    <w:rsid w:val="00922298"/>
    <w:rsid w:val="009305FC"/>
    <w:rsid w:val="009336FE"/>
    <w:rsid w:val="00936FF1"/>
    <w:rsid w:val="00937D66"/>
    <w:rsid w:val="00940B47"/>
    <w:rsid w:val="00951B31"/>
    <w:rsid w:val="00956166"/>
    <w:rsid w:val="00956994"/>
    <w:rsid w:val="00956BD9"/>
    <w:rsid w:val="0097068C"/>
    <w:rsid w:val="00972E25"/>
    <w:rsid w:val="009853A1"/>
    <w:rsid w:val="009A05A7"/>
    <w:rsid w:val="009A488F"/>
    <w:rsid w:val="009C1F83"/>
    <w:rsid w:val="009C2350"/>
    <w:rsid w:val="009C37E7"/>
    <w:rsid w:val="009E5ABB"/>
    <w:rsid w:val="009E5C82"/>
    <w:rsid w:val="009F1A8C"/>
    <w:rsid w:val="009F4750"/>
    <w:rsid w:val="00A02192"/>
    <w:rsid w:val="00A030D1"/>
    <w:rsid w:val="00A06CDE"/>
    <w:rsid w:val="00A1319A"/>
    <w:rsid w:val="00A178D6"/>
    <w:rsid w:val="00A263A9"/>
    <w:rsid w:val="00A31CBB"/>
    <w:rsid w:val="00A4015D"/>
    <w:rsid w:val="00A57CC0"/>
    <w:rsid w:val="00A60DB1"/>
    <w:rsid w:val="00A739D9"/>
    <w:rsid w:val="00A764CE"/>
    <w:rsid w:val="00A9341D"/>
    <w:rsid w:val="00AB3BFD"/>
    <w:rsid w:val="00AC56E7"/>
    <w:rsid w:val="00AD5B86"/>
    <w:rsid w:val="00AD62B9"/>
    <w:rsid w:val="00AD6D55"/>
    <w:rsid w:val="00AF0A32"/>
    <w:rsid w:val="00AF2FA6"/>
    <w:rsid w:val="00AF4748"/>
    <w:rsid w:val="00B00492"/>
    <w:rsid w:val="00B01167"/>
    <w:rsid w:val="00B013E4"/>
    <w:rsid w:val="00B07630"/>
    <w:rsid w:val="00B1271C"/>
    <w:rsid w:val="00B12DCD"/>
    <w:rsid w:val="00B22E30"/>
    <w:rsid w:val="00B24DF0"/>
    <w:rsid w:val="00B25587"/>
    <w:rsid w:val="00B25D88"/>
    <w:rsid w:val="00B35F65"/>
    <w:rsid w:val="00B37A41"/>
    <w:rsid w:val="00B37BB2"/>
    <w:rsid w:val="00B40648"/>
    <w:rsid w:val="00B40A3A"/>
    <w:rsid w:val="00B41CA8"/>
    <w:rsid w:val="00B46BC7"/>
    <w:rsid w:val="00B503D1"/>
    <w:rsid w:val="00B57C1C"/>
    <w:rsid w:val="00B637F0"/>
    <w:rsid w:val="00B65B53"/>
    <w:rsid w:val="00B7463B"/>
    <w:rsid w:val="00B97728"/>
    <w:rsid w:val="00BB6F78"/>
    <w:rsid w:val="00BD17BE"/>
    <w:rsid w:val="00BD554A"/>
    <w:rsid w:val="00BE37F9"/>
    <w:rsid w:val="00BF3AB5"/>
    <w:rsid w:val="00BF4025"/>
    <w:rsid w:val="00BF4289"/>
    <w:rsid w:val="00BF4840"/>
    <w:rsid w:val="00C0120C"/>
    <w:rsid w:val="00C06066"/>
    <w:rsid w:val="00C069AA"/>
    <w:rsid w:val="00C109C2"/>
    <w:rsid w:val="00C12B21"/>
    <w:rsid w:val="00C2032A"/>
    <w:rsid w:val="00C215F8"/>
    <w:rsid w:val="00C236CC"/>
    <w:rsid w:val="00C316A4"/>
    <w:rsid w:val="00C45F47"/>
    <w:rsid w:val="00C616CA"/>
    <w:rsid w:val="00C763BA"/>
    <w:rsid w:val="00CB026B"/>
    <w:rsid w:val="00CB3A0E"/>
    <w:rsid w:val="00CC3B92"/>
    <w:rsid w:val="00CC79CD"/>
    <w:rsid w:val="00CD4C3D"/>
    <w:rsid w:val="00CE5B37"/>
    <w:rsid w:val="00CE7BE6"/>
    <w:rsid w:val="00D07460"/>
    <w:rsid w:val="00D20C73"/>
    <w:rsid w:val="00D2154E"/>
    <w:rsid w:val="00D2208E"/>
    <w:rsid w:val="00D343B6"/>
    <w:rsid w:val="00D4122B"/>
    <w:rsid w:val="00D41A53"/>
    <w:rsid w:val="00D41EB9"/>
    <w:rsid w:val="00D423B6"/>
    <w:rsid w:val="00D4393B"/>
    <w:rsid w:val="00D44782"/>
    <w:rsid w:val="00D47514"/>
    <w:rsid w:val="00D53A05"/>
    <w:rsid w:val="00D552E0"/>
    <w:rsid w:val="00D639D9"/>
    <w:rsid w:val="00D70F18"/>
    <w:rsid w:val="00D71CB7"/>
    <w:rsid w:val="00D726D0"/>
    <w:rsid w:val="00D82886"/>
    <w:rsid w:val="00D86010"/>
    <w:rsid w:val="00DA243F"/>
    <w:rsid w:val="00DA4FB9"/>
    <w:rsid w:val="00DC07D6"/>
    <w:rsid w:val="00DC6123"/>
    <w:rsid w:val="00DD038F"/>
    <w:rsid w:val="00DE6A97"/>
    <w:rsid w:val="00DE742A"/>
    <w:rsid w:val="00DE7E0A"/>
    <w:rsid w:val="00DF0CE6"/>
    <w:rsid w:val="00DF395D"/>
    <w:rsid w:val="00DF4B46"/>
    <w:rsid w:val="00DF7895"/>
    <w:rsid w:val="00E129FE"/>
    <w:rsid w:val="00E163AF"/>
    <w:rsid w:val="00E421D9"/>
    <w:rsid w:val="00E475C8"/>
    <w:rsid w:val="00E64F6E"/>
    <w:rsid w:val="00E7225B"/>
    <w:rsid w:val="00E7265C"/>
    <w:rsid w:val="00E8048A"/>
    <w:rsid w:val="00EA3838"/>
    <w:rsid w:val="00EB681A"/>
    <w:rsid w:val="00EB6865"/>
    <w:rsid w:val="00EC00BC"/>
    <w:rsid w:val="00ED5105"/>
    <w:rsid w:val="00ED76C3"/>
    <w:rsid w:val="00ED779E"/>
    <w:rsid w:val="00EE5732"/>
    <w:rsid w:val="00EF457E"/>
    <w:rsid w:val="00F012E1"/>
    <w:rsid w:val="00F029C9"/>
    <w:rsid w:val="00F05F32"/>
    <w:rsid w:val="00F07EAE"/>
    <w:rsid w:val="00F127BE"/>
    <w:rsid w:val="00F14FC8"/>
    <w:rsid w:val="00F203C0"/>
    <w:rsid w:val="00F21F6F"/>
    <w:rsid w:val="00F23A12"/>
    <w:rsid w:val="00F465E9"/>
    <w:rsid w:val="00F517D0"/>
    <w:rsid w:val="00F56445"/>
    <w:rsid w:val="00F70BDA"/>
    <w:rsid w:val="00F72975"/>
    <w:rsid w:val="00F77CCD"/>
    <w:rsid w:val="00F81809"/>
    <w:rsid w:val="00F9132B"/>
    <w:rsid w:val="00F96C57"/>
    <w:rsid w:val="00FA5A25"/>
    <w:rsid w:val="00FB1233"/>
    <w:rsid w:val="00FB1888"/>
    <w:rsid w:val="00FC43EF"/>
    <w:rsid w:val="00FC5AF8"/>
    <w:rsid w:val="00FD2F6B"/>
    <w:rsid w:val="00FD3293"/>
    <w:rsid w:val="00FE7FB3"/>
    <w:rsid w:val="00FF163D"/>
    <w:rsid w:val="00FF2412"/>
    <w:rsid w:val="2CFC5807"/>
    <w:rsid w:val="30682158"/>
    <w:rsid w:val="605E45B7"/>
    <w:rsid w:val="6D17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Body Text Indent 3"/>
    <w:basedOn w:val="1"/>
    <w:uiPriority w:val="0"/>
    <w:pPr>
      <w:spacing w:line="360" w:lineRule="auto"/>
      <w:ind w:firstLine="480"/>
    </w:pPr>
    <w:rPr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paragraph" w:customStyle="1" w:styleId="12">
    <w:name w:val="Char"/>
    <w:basedOn w:val="1"/>
    <w:uiPriority w:val="0"/>
    <w:rPr>
      <w:rFonts w:ascii="Tahoma" w:hAnsi="Tahoma"/>
      <w:sz w:val="24"/>
    </w:rPr>
  </w:style>
  <w:style w:type="paragraph" w:customStyle="1" w:styleId="13">
    <w:name w:val="Char1"/>
    <w:basedOn w:val="1"/>
    <w:uiPriority w:val="0"/>
    <w:rPr>
      <w:rFonts w:ascii="Tahoma" w:hAnsi="Tahoma"/>
      <w:sz w:val="24"/>
    </w:rPr>
  </w:style>
  <w:style w:type="paragraph" w:customStyle="1" w:styleId="14">
    <w:name w:val="批注框文本 Char Char"/>
    <w:basedOn w:val="1"/>
    <w:uiPriority w:val="0"/>
    <w:rPr>
      <w:sz w:val="18"/>
    </w:rPr>
  </w:style>
  <w:style w:type="character" w:customStyle="1" w:styleId="15">
    <w:name w:val="批注框文本 Char"/>
    <w:basedOn w:val="10"/>
    <w:link w:val="3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1495</Words>
  <Characters>1571</Characters>
  <Lines>11</Lines>
  <Paragraphs>3</Paragraphs>
  <TotalTime>1</TotalTime>
  <ScaleCrop>false</ScaleCrop>
  <LinksUpToDate>false</LinksUpToDate>
  <CharactersWithSpaces>1594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2019-07-04T05:15:00Z</dcterms:created>
  <dc:creator>刘洪立</dc:creator>
  <cp:lastModifiedBy>李华&amp;深圳里奇</cp:lastModifiedBy>
  <cp:lastPrinted>2017-10-19T03:38:00Z</cp:lastPrinted>
  <dcterms:modified xsi:type="dcterms:W3CDTF">2024-06-26T05:04:55Z</dcterms:modified>
  <dc:title>合作协议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1768046AC1264AD4848D8DD93B337E8A_12</vt:lpwstr>
  </property>
</Properties>
</file>